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8C30176" w14:textId="0C45D35B"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9D4515">
        <w:rPr>
          <w:bCs w:val="0"/>
          <w:sz w:val="28"/>
        </w:rPr>
        <w:t>3</w:t>
      </w:r>
      <w:r w:rsidR="00197EC1" w:rsidRPr="00FC6EBE">
        <w:rPr>
          <w:bCs w:val="0"/>
          <w:sz w:val="28"/>
        </w:rPr>
        <w:tab/>
      </w:r>
      <w:r w:rsidR="00D85D53" w:rsidRPr="00D85D53">
        <w:rPr>
          <w:bCs w:val="0"/>
          <w:sz w:val="28"/>
        </w:rPr>
        <w:t>R1-</w:t>
      </w:r>
      <w:bookmarkStart w:id="2" w:name="_GoBack"/>
      <w:bookmarkEnd w:id="2"/>
      <w:r w:rsidR="00D85D53" w:rsidRPr="009832DB">
        <w:rPr>
          <w:bCs w:val="0"/>
          <w:sz w:val="28"/>
        </w:rPr>
        <w:t>2</w:t>
      </w:r>
      <w:r w:rsidR="002C3FC2" w:rsidRPr="009832DB">
        <w:rPr>
          <w:bCs w:val="0"/>
          <w:sz w:val="28"/>
        </w:rPr>
        <w:t>3</w:t>
      </w:r>
      <w:r w:rsidR="009832DB" w:rsidRPr="009832DB">
        <w:rPr>
          <w:bCs w:val="0"/>
          <w:sz w:val="28"/>
        </w:rPr>
        <w:t>05395</w:t>
      </w:r>
    </w:p>
    <w:p w14:paraId="0C1BBD2C" w14:textId="7CE99F55" w:rsidR="00281A16" w:rsidRPr="00912280" w:rsidRDefault="009D4515" w:rsidP="00281A16">
      <w:pPr>
        <w:pStyle w:val="a5"/>
        <w:rPr>
          <w:bCs w:val="0"/>
          <w:sz w:val="28"/>
        </w:rPr>
      </w:pPr>
      <w:r>
        <w:rPr>
          <w:bCs w:val="0"/>
          <w:sz w:val="28"/>
          <w:szCs w:val="24"/>
          <w:lang w:eastAsia="ko-KR"/>
        </w:rPr>
        <w:t>Incheon, Korea,</w:t>
      </w:r>
      <w:r w:rsidR="00D6015A">
        <w:rPr>
          <w:bCs w:val="0"/>
          <w:sz w:val="28"/>
          <w:szCs w:val="24"/>
          <w:lang w:eastAsia="ko-KR"/>
        </w:rPr>
        <w:t xml:space="preserve"> </w:t>
      </w:r>
      <w:r>
        <w:rPr>
          <w:bCs w:val="0"/>
          <w:sz w:val="28"/>
          <w:szCs w:val="24"/>
          <w:lang w:eastAsia="ko-KR"/>
        </w:rPr>
        <w:t>May</w:t>
      </w:r>
      <w:r w:rsidR="002C3FC2">
        <w:rPr>
          <w:bCs w:val="0"/>
          <w:sz w:val="28"/>
          <w:szCs w:val="24"/>
          <w:lang w:eastAsia="ko-KR"/>
        </w:rPr>
        <w:t xml:space="preserve"> </w:t>
      </w:r>
      <w:r>
        <w:rPr>
          <w:bCs w:val="0"/>
          <w:sz w:val="28"/>
          <w:szCs w:val="24"/>
          <w:lang w:eastAsia="ko-KR"/>
        </w:rPr>
        <w:t>22</w:t>
      </w:r>
      <w:r>
        <w:rPr>
          <w:bCs w:val="0"/>
          <w:sz w:val="28"/>
          <w:szCs w:val="24"/>
          <w:vertAlign w:val="superscript"/>
          <w:lang w:eastAsia="ko-KR"/>
        </w:rPr>
        <w:t>nd</w:t>
      </w:r>
      <w:r w:rsidR="00281A16">
        <w:rPr>
          <w:rFonts w:hint="eastAsia"/>
          <w:bCs w:val="0"/>
          <w:sz w:val="28"/>
          <w:szCs w:val="24"/>
          <w:lang w:eastAsia="ko-KR"/>
        </w:rPr>
        <w:t xml:space="preserve"> </w:t>
      </w:r>
      <w:r w:rsidR="00366C65">
        <w:rPr>
          <w:bCs w:val="0"/>
          <w:sz w:val="28"/>
          <w:szCs w:val="24"/>
          <w:lang w:eastAsia="ko-KR"/>
        </w:rPr>
        <w:t xml:space="preserve">– </w:t>
      </w:r>
      <w:r w:rsidR="00D6015A">
        <w:rPr>
          <w:bCs w:val="0"/>
          <w:sz w:val="28"/>
          <w:szCs w:val="24"/>
          <w:lang w:eastAsia="ko-KR"/>
        </w:rPr>
        <w:t>26</w:t>
      </w:r>
      <w:r w:rsidR="00D6015A">
        <w:rPr>
          <w:bCs w:val="0"/>
          <w:sz w:val="28"/>
          <w:szCs w:val="24"/>
          <w:vertAlign w:val="superscript"/>
          <w:lang w:eastAsia="ko-KR"/>
        </w:rPr>
        <w:t>th</w:t>
      </w:r>
      <w:r w:rsidR="00D321A9">
        <w:rPr>
          <w:bCs w:val="0"/>
          <w:sz w:val="28"/>
          <w:szCs w:val="24"/>
          <w:lang w:eastAsia="ko-KR"/>
        </w:rPr>
        <w:t>,</w:t>
      </w:r>
      <w:r w:rsidR="000A5B41">
        <w:rPr>
          <w:bCs w:val="0"/>
          <w:sz w:val="28"/>
          <w:szCs w:val="24"/>
          <w:lang w:eastAsia="ko-KR"/>
        </w:rPr>
        <w:t xml:space="preserve"> 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3ACB987B"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D6015A">
        <w:rPr>
          <w:rFonts w:ascii="Arial" w:hAnsi="Arial"/>
          <w:sz w:val="24"/>
          <w:lang w:val="en-US"/>
        </w:rPr>
        <w:t>1</w:t>
      </w:r>
      <w:r w:rsidR="009D4515">
        <w:rPr>
          <w:rFonts w:ascii="Arial" w:hAnsi="Arial"/>
          <w:sz w:val="24"/>
          <w:lang w:val="en-US"/>
        </w:rPr>
        <w:t>6</w:t>
      </w:r>
      <w:r w:rsidR="00D6015A">
        <w:rPr>
          <w:rFonts w:ascii="Arial" w:hAnsi="Arial"/>
          <w:sz w:val="24"/>
          <w:lang w:val="en-US"/>
        </w:rPr>
        <w:t>.4</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2F317A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056AF3" w:rsidRPr="00056AF3">
        <w:rPr>
          <w:rFonts w:ascii="Arial" w:hAnsi="Arial"/>
          <w:sz w:val="24"/>
        </w:rPr>
        <w:t xml:space="preserve">Discussion on </w:t>
      </w:r>
      <w:r w:rsidR="00D6015A">
        <w:rPr>
          <w:rFonts w:ascii="Arial" w:hAnsi="Arial"/>
          <w:sz w:val="24"/>
        </w:rPr>
        <w:t xml:space="preserve">UE features for </w:t>
      </w:r>
      <w:r w:rsidR="006C3DC8">
        <w:rPr>
          <w:rFonts w:ascii="Arial" w:hAnsi="Arial"/>
          <w:sz w:val="24"/>
        </w:rPr>
        <w:t xml:space="preserve">NR </w:t>
      </w:r>
      <w:r w:rsidR="00D6015A">
        <w:rPr>
          <w:rFonts w:ascii="Arial" w:hAnsi="Arial"/>
          <w:sz w:val="24"/>
        </w:rPr>
        <w:t>NCR</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3"/>
    </w:p>
    <w:p w14:paraId="7572521E" w14:textId="74EB45A4" w:rsidR="007D56AF" w:rsidRDefault="00955FCC" w:rsidP="00B7449F">
      <w:pPr>
        <w:rPr>
          <w:lang w:eastAsia="ko-KR"/>
        </w:rPr>
      </w:pPr>
      <w:r>
        <w:rPr>
          <w:rFonts w:cs="바탕"/>
          <w:szCs w:val="22"/>
          <w:lang w:val="en-US" w:eastAsia="en-US"/>
        </w:rPr>
        <w:t>In RAN1#112bis-e meeting, the initial RAN1 UE features f</w:t>
      </w:r>
      <w:r w:rsidRPr="0006525D">
        <w:rPr>
          <w:rFonts w:cs="바탕"/>
          <w:szCs w:val="22"/>
          <w:lang w:val="en-US" w:eastAsia="en-US"/>
        </w:rPr>
        <w:t>or Rel-1</w:t>
      </w:r>
      <w:r>
        <w:rPr>
          <w:rFonts w:cs="바탕"/>
          <w:szCs w:val="22"/>
          <w:lang w:val="en-US" w:eastAsia="en-US"/>
        </w:rPr>
        <w:t>8</w:t>
      </w:r>
      <w:r w:rsidRPr="0006525D">
        <w:rPr>
          <w:rFonts w:cs="바탕"/>
          <w:szCs w:val="22"/>
          <w:lang w:val="en-US" w:eastAsia="en-US"/>
        </w:rPr>
        <w:t xml:space="preserve"> </w:t>
      </w:r>
      <w:r>
        <w:rPr>
          <w:rFonts w:cs="바탕"/>
          <w:szCs w:val="22"/>
          <w:lang w:val="en-US" w:eastAsia="en-US"/>
        </w:rPr>
        <w:t>NR</w:t>
      </w:r>
      <w:r w:rsidRPr="0006525D">
        <w:rPr>
          <w:rFonts w:cs="바탕"/>
          <w:szCs w:val="22"/>
          <w:lang w:val="en-US" w:eastAsia="en-US"/>
        </w:rPr>
        <w:t xml:space="preserve"> </w:t>
      </w:r>
      <w:r>
        <w:rPr>
          <w:rFonts w:cs="바탕"/>
          <w:szCs w:val="22"/>
          <w:lang w:val="en-US" w:eastAsia="en-US"/>
        </w:rPr>
        <w:t xml:space="preserve">were made in [1]. </w:t>
      </w:r>
      <w:r w:rsidR="00B7449F">
        <w:rPr>
          <w:lang w:eastAsia="ko-KR"/>
        </w:rPr>
        <w:t xml:space="preserve">In this contribution, we </w:t>
      </w:r>
      <w:r w:rsidR="003C08E8">
        <w:rPr>
          <w:lang w:eastAsia="ko-KR"/>
        </w:rPr>
        <w:t>provide our views on</w:t>
      </w:r>
      <w:r w:rsidR="005401F0">
        <w:rPr>
          <w:lang w:eastAsia="ko-KR"/>
        </w:rPr>
        <w:t xml:space="preserve"> </w:t>
      </w:r>
      <w:r>
        <w:rPr>
          <w:lang w:eastAsia="ko-KR"/>
        </w:rPr>
        <w:t xml:space="preserve">remaining issues on the </w:t>
      </w:r>
      <w:r w:rsidR="003C08E8">
        <w:rPr>
          <w:lang w:eastAsia="ko-KR"/>
        </w:rPr>
        <w:t xml:space="preserve">UE features for </w:t>
      </w:r>
      <w:r w:rsidR="00883D44">
        <w:rPr>
          <w:lang w:eastAsia="ko-KR"/>
        </w:rPr>
        <w:t xml:space="preserve">NR </w:t>
      </w:r>
      <w:r w:rsidR="003C08E8">
        <w:rPr>
          <w:lang w:eastAsia="ko-KR"/>
        </w:rPr>
        <w:t>NCR</w:t>
      </w:r>
      <w:r w:rsidR="008E7C82">
        <w:rPr>
          <w:lang w:eastAsia="ko-KR"/>
        </w:rPr>
        <w:t>.</w:t>
      </w:r>
    </w:p>
    <w:p w14:paraId="600252B4" w14:textId="77777777" w:rsidR="00CE304C" w:rsidRPr="007D56AF" w:rsidRDefault="00CE304C" w:rsidP="000A67CA">
      <w:pPr>
        <w:rPr>
          <w:lang w:eastAsia="ko-KR"/>
        </w:rPr>
      </w:pPr>
    </w:p>
    <w:p w14:paraId="66C84697" w14:textId="6AC70F49" w:rsidR="00B7449F" w:rsidRPr="00B7449F" w:rsidRDefault="00955FCC" w:rsidP="00881572">
      <w:pPr>
        <w:pStyle w:val="1"/>
        <w:rPr>
          <w:rFonts w:cs="Arial"/>
        </w:rPr>
      </w:pPr>
      <w:r>
        <w:t>Discussion</w:t>
      </w:r>
    </w:p>
    <w:p w14:paraId="76A21DFC" w14:textId="388FBE4E" w:rsidR="00955FCC" w:rsidRPr="00A84395" w:rsidRDefault="00955FCC" w:rsidP="00955FCC">
      <w:pPr>
        <w:rPr>
          <w:rFonts w:eastAsia="바탕체"/>
          <w:b/>
          <w:u w:val="single"/>
          <w:lang w:eastAsia="ko-KR"/>
        </w:rPr>
      </w:pPr>
      <w:r>
        <w:rPr>
          <w:rFonts w:eastAsia="바탕체"/>
          <w:b/>
          <w:u w:val="single"/>
          <w:lang w:eastAsia="ko-KR"/>
        </w:rPr>
        <w:t>Basic NCR support</w:t>
      </w:r>
    </w:p>
    <w:p w14:paraId="4656D568" w14:textId="6D783466" w:rsidR="00370F42" w:rsidRDefault="00370F42" w:rsidP="00D51D51">
      <w:pPr>
        <w:rPr>
          <w:rFonts w:eastAsia="바탕체"/>
          <w:lang w:eastAsia="ko-KR"/>
        </w:rPr>
      </w:pPr>
      <w:r w:rsidRPr="00370F42">
        <w:rPr>
          <w:rFonts w:eastAsia="바탕체"/>
          <w:lang w:eastAsia="ko-KR"/>
        </w:rPr>
        <w:t>FG 43-1 contains the features that NCR should support by default. This FG consists of the following components</w:t>
      </w:r>
    </w:p>
    <w:p w14:paraId="01F0CF99" w14:textId="3C6A4CB4" w:rsidR="00A21FE8" w:rsidRPr="00A21FE8" w:rsidRDefault="00A21FE8" w:rsidP="00A21FE8">
      <w:pPr>
        <w:pStyle w:val="ac"/>
        <w:numPr>
          <w:ilvl w:val="0"/>
          <w:numId w:val="40"/>
        </w:numPr>
        <w:ind w:leftChars="0"/>
        <w:rPr>
          <w:color w:val="000000" w:themeColor="text1"/>
          <w:szCs w:val="18"/>
        </w:rPr>
      </w:pPr>
      <w:r w:rsidRPr="00A21FE8">
        <w:rPr>
          <w:color w:val="000000" w:themeColor="text1"/>
          <w:szCs w:val="18"/>
        </w:rPr>
        <w:t>Support of fixed beam for C-link/backhaul link</w:t>
      </w:r>
    </w:p>
    <w:p w14:paraId="0E58CAD8" w14:textId="14D60EE5" w:rsidR="00A21FE8" w:rsidRPr="00A21FE8" w:rsidRDefault="00A21FE8" w:rsidP="00A21FE8">
      <w:pPr>
        <w:pStyle w:val="maintext"/>
        <w:numPr>
          <w:ilvl w:val="0"/>
          <w:numId w:val="40"/>
        </w:numPr>
        <w:ind w:firstLineChars="0"/>
        <w:jc w:val="left"/>
        <w:rPr>
          <w:rFonts w:cs="Times New Roman"/>
          <w:color w:val="000000" w:themeColor="text1"/>
          <w:sz w:val="22"/>
          <w:szCs w:val="18"/>
          <w:lang w:eastAsia="zh-CN"/>
        </w:rPr>
      </w:pPr>
      <w:r w:rsidRPr="00A21FE8">
        <w:rPr>
          <w:rFonts w:cs="Times New Roman"/>
          <w:color w:val="000000" w:themeColor="text1"/>
          <w:sz w:val="22"/>
          <w:szCs w:val="18"/>
          <w:lang w:eastAsia="zh-CN"/>
        </w:rPr>
        <w:t xml:space="preserve">Support of </w:t>
      </w:r>
      <w:proofErr w:type="spellStart"/>
      <w:r w:rsidRPr="00A21FE8">
        <w:rPr>
          <w:rFonts w:cs="Times New Roman"/>
          <w:color w:val="000000" w:themeColor="text1"/>
          <w:sz w:val="22"/>
          <w:szCs w:val="18"/>
          <w:lang w:eastAsia="zh-CN"/>
        </w:rPr>
        <w:t>TDMed</w:t>
      </w:r>
      <w:proofErr w:type="spellEnd"/>
      <w:r w:rsidRPr="00A21FE8">
        <w:rPr>
          <w:rFonts w:cs="Times New Roman"/>
          <w:color w:val="000000" w:themeColor="text1"/>
          <w:sz w:val="22"/>
          <w:szCs w:val="18"/>
          <w:lang w:eastAsia="zh-CN"/>
        </w:rPr>
        <w:t xml:space="preserve"> UL transmission of C-link and backhaul link</w:t>
      </w:r>
    </w:p>
    <w:p w14:paraId="7F6A8507" w14:textId="73061B90" w:rsidR="00A21FE8" w:rsidRPr="00A21FE8" w:rsidRDefault="00A21FE8" w:rsidP="00A21FE8">
      <w:pPr>
        <w:pStyle w:val="maintext"/>
        <w:numPr>
          <w:ilvl w:val="0"/>
          <w:numId w:val="40"/>
        </w:numPr>
        <w:ind w:firstLineChars="0"/>
        <w:jc w:val="left"/>
        <w:rPr>
          <w:rFonts w:cs="Times New Roman"/>
          <w:color w:val="000000" w:themeColor="text1"/>
          <w:sz w:val="22"/>
          <w:szCs w:val="18"/>
          <w:lang w:eastAsia="zh-CN"/>
        </w:rPr>
      </w:pPr>
      <w:r w:rsidRPr="00A21FE8">
        <w:rPr>
          <w:rFonts w:cs="Times New Roman"/>
          <w:color w:val="000000" w:themeColor="text1"/>
          <w:sz w:val="22"/>
          <w:szCs w:val="18"/>
          <w:lang w:eastAsia="zh-CN"/>
        </w:rPr>
        <w:t xml:space="preserve">Support of ON-OFF operation </w:t>
      </w:r>
      <w:r w:rsidRPr="00A21FE8">
        <w:rPr>
          <w:rFonts w:cs="Times New Roman"/>
          <w:color w:val="000000" w:themeColor="text1"/>
          <w:sz w:val="22"/>
          <w:szCs w:val="18"/>
          <w:lang w:val="en-US" w:eastAsia="zh-CN"/>
        </w:rPr>
        <w:t>for NCR-</w:t>
      </w:r>
      <w:proofErr w:type="spellStart"/>
      <w:r w:rsidRPr="00A21FE8">
        <w:rPr>
          <w:rFonts w:cs="Times New Roman"/>
          <w:color w:val="000000" w:themeColor="text1"/>
          <w:sz w:val="22"/>
          <w:szCs w:val="18"/>
          <w:lang w:val="en-US" w:eastAsia="zh-CN"/>
        </w:rPr>
        <w:t>Fwd</w:t>
      </w:r>
      <w:proofErr w:type="spellEnd"/>
      <w:r w:rsidRPr="00A21FE8">
        <w:rPr>
          <w:rFonts w:cs="Times New Roman"/>
          <w:color w:val="000000" w:themeColor="text1"/>
          <w:sz w:val="22"/>
          <w:szCs w:val="18"/>
          <w:lang w:val="en-US" w:eastAsia="zh-CN"/>
        </w:rPr>
        <w:t xml:space="preserve"> </w:t>
      </w:r>
      <w:r w:rsidRPr="00A21FE8">
        <w:rPr>
          <w:rFonts w:cs="Times New Roman"/>
          <w:color w:val="000000" w:themeColor="text1"/>
          <w:sz w:val="22"/>
          <w:szCs w:val="18"/>
          <w:lang w:eastAsia="zh-CN"/>
        </w:rPr>
        <w:t>based on access link beam indication</w:t>
      </w:r>
    </w:p>
    <w:p w14:paraId="347E561B" w14:textId="4C5C623E" w:rsidR="00A21FE8" w:rsidRPr="00A21FE8" w:rsidRDefault="00A21FE8" w:rsidP="00A21FE8">
      <w:pPr>
        <w:pStyle w:val="maintext"/>
        <w:numPr>
          <w:ilvl w:val="0"/>
          <w:numId w:val="40"/>
        </w:numPr>
        <w:ind w:firstLineChars="0"/>
        <w:jc w:val="left"/>
        <w:rPr>
          <w:rFonts w:cs="Times New Roman"/>
          <w:color w:val="000000" w:themeColor="text1"/>
          <w:sz w:val="22"/>
          <w:szCs w:val="18"/>
          <w:lang w:eastAsia="zh-CN"/>
        </w:rPr>
      </w:pPr>
      <w:r w:rsidRPr="00A21FE8">
        <w:rPr>
          <w:rFonts w:cs="Times New Roman"/>
          <w:color w:val="000000" w:themeColor="text1"/>
          <w:sz w:val="22"/>
          <w:szCs w:val="18"/>
          <w:lang w:eastAsia="zh-CN"/>
        </w:rPr>
        <w:t xml:space="preserve">Support of TDD UL/DL determination </w:t>
      </w:r>
      <w:r w:rsidRPr="00A21FE8">
        <w:rPr>
          <w:rFonts w:cs="Times New Roman"/>
          <w:color w:val="000000" w:themeColor="text1"/>
          <w:sz w:val="22"/>
          <w:szCs w:val="18"/>
          <w:lang w:val="en-US" w:eastAsia="zh-CN"/>
        </w:rPr>
        <w:t>for backhaul/access link based on TDD UL/DL configuration of C-link</w:t>
      </w:r>
    </w:p>
    <w:p w14:paraId="6DBA0752" w14:textId="0F31B2FA" w:rsidR="00A21FE8" w:rsidRPr="00A21FE8" w:rsidRDefault="00A21FE8" w:rsidP="00A21FE8">
      <w:pPr>
        <w:pStyle w:val="maintext"/>
        <w:numPr>
          <w:ilvl w:val="0"/>
          <w:numId w:val="40"/>
        </w:numPr>
        <w:ind w:firstLineChars="0"/>
        <w:jc w:val="left"/>
        <w:rPr>
          <w:rFonts w:cs="Times New Roman"/>
          <w:color w:val="000000" w:themeColor="text1"/>
          <w:sz w:val="22"/>
          <w:szCs w:val="18"/>
          <w:lang w:eastAsia="zh-CN"/>
        </w:rPr>
      </w:pPr>
      <w:r w:rsidRPr="00370F42">
        <w:rPr>
          <w:rFonts w:cs="Times New Roman"/>
          <w:color w:val="000000" w:themeColor="text1"/>
          <w:sz w:val="22"/>
          <w:szCs w:val="18"/>
          <w:lang w:eastAsia="zh-CN"/>
        </w:rPr>
        <w:t>[Support of]</w:t>
      </w:r>
      <w:r w:rsidRPr="00A21FE8">
        <w:rPr>
          <w:rFonts w:cs="Times New Roman"/>
          <w:color w:val="000000" w:themeColor="text1"/>
          <w:sz w:val="22"/>
          <w:szCs w:val="18"/>
          <w:lang w:eastAsia="zh-CN"/>
        </w:rPr>
        <w:t xml:space="preserve"> Tx/Rx timing determination for backhaul/access link </w:t>
      </w:r>
      <w:r w:rsidRPr="00A21FE8">
        <w:rPr>
          <w:rFonts w:cs="Times New Roman"/>
          <w:color w:val="000000" w:themeColor="text1"/>
          <w:sz w:val="22"/>
          <w:szCs w:val="18"/>
          <w:lang w:val="en-US" w:eastAsia="zh-CN"/>
        </w:rPr>
        <w:t>based on Tx/Rx timing of C-link</w:t>
      </w:r>
    </w:p>
    <w:p w14:paraId="112901F1" w14:textId="00ABDB1E" w:rsidR="00A21FE8" w:rsidRPr="00A21FE8" w:rsidRDefault="00A21FE8" w:rsidP="00A21FE8">
      <w:pPr>
        <w:pStyle w:val="maintext"/>
        <w:numPr>
          <w:ilvl w:val="0"/>
          <w:numId w:val="40"/>
        </w:numPr>
        <w:ind w:firstLineChars="0"/>
        <w:jc w:val="left"/>
        <w:rPr>
          <w:rFonts w:cs="Times New Roman"/>
          <w:color w:val="000000" w:themeColor="text1"/>
          <w:sz w:val="22"/>
          <w:szCs w:val="18"/>
          <w:lang w:eastAsia="zh-CN"/>
        </w:rPr>
      </w:pPr>
      <w:r w:rsidRPr="00A21FE8">
        <w:rPr>
          <w:rFonts w:cs="Times New Roman"/>
          <w:color w:val="000000" w:themeColor="text1"/>
          <w:sz w:val="22"/>
          <w:szCs w:val="18"/>
          <w:lang w:eastAsia="zh-CN"/>
        </w:rPr>
        <w:t>Support of beam correspondence of the DL/UL of the access link at NCR-</w:t>
      </w:r>
      <w:proofErr w:type="spellStart"/>
      <w:r w:rsidRPr="00A21FE8">
        <w:rPr>
          <w:rFonts w:cs="Times New Roman"/>
          <w:color w:val="000000" w:themeColor="text1"/>
          <w:sz w:val="22"/>
          <w:szCs w:val="18"/>
          <w:lang w:eastAsia="zh-CN"/>
        </w:rPr>
        <w:t>Fwd</w:t>
      </w:r>
      <w:proofErr w:type="spellEnd"/>
    </w:p>
    <w:p w14:paraId="05C9BB79" w14:textId="14C03055" w:rsidR="005E18C4" w:rsidRDefault="005E18C4" w:rsidP="00D51D51">
      <w:pPr>
        <w:rPr>
          <w:rFonts w:eastAsia="바탕체"/>
          <w:lang w:eastAsia="ko-KR"/>
        </w:rPr>
      </w:pPr>
    </w:p>
    <w:p w14:paraId="572C7660" w14:textId="74ADC593" w:rsidR="007B2111" w:rsidRDefault="007B2111" w:rsidP="00D51D51">
      <w:pPr>
        <w:rPr>
          <w:rFonts w:eastAsia="바탕체"/>
          <w:lang w:eastAsia="ko-KR"/>
        </w:rPr>
      </w:pPr>
      <w:r w:rsidRPr="007B2111">
        <w:rPr>
          <w:rFonts w:eastAsia="바탕체"/>
          <w:lang w:eastAsia="ko-KR"/>
        </w:rPr>
        <w:t xml:space="preserve">Since the NCR must support FG 43-1 as a basic requirement, there is no need for the NCR-MT to provide capability </w:t>
      </w:r>
      <w:proofErr w:type="spellStart"/>
      <w:r w:rsidRPr="007B2111">
        <w:rPr>
          <w:rFonts w:eastAsia="바탕체"/>
          <w:lang w:eastAsia="ko-KR"/>
        </w:rPr>
        <w:t>signaling</w:t>
      </w:r>
      <w:proofErr w:type="spellEnd"/>
      <w:r w:rsidRPr="007B2111">
        <w:rPr>
          <w:rFonts w:eastAsia="바탕체"/>
          <w:lang w:eastAsia="ko-KR"/>
        </w:rPr>
        <w:t xml:space="preserve"> to inform the network of the support status of this FG. However, capability </w:t>
      </w:r>
      <w:proofErr w:type="spellStart"/>
      <w:r w:rsidRPr="007B2111">
        <w:rPr>
          <w:rFonts w:eastAsia="바탕체"/>
          <w:lang w:eastAsia="ko-KR"/>
        </w:rPr>
        <w:t>signaling</w:t>
      </w:r>
      <w:proofErr w:type="spellEnd"/>
      <w:r w:rsidRPr="007B2111">
        <w:rPr>
          <w:rFonts w:eastAsia="바탕체"/>
          <w:lang w:eastAsia="ko-KR"/>
        </w:rPr>
        <w:t xml:space="preserve"> may be required for the determination of access link Tx/Rx timing, which is a Component 5 function of FG 43-1.</w:t>
      </w:r>
    </w:p>
    <w:p w14:paraId="6A8A41DB" w14:textId="78165CF6" w:rsidR="00BF3B60" w:rsidRPr="00BF3B60" w:rsidRDefault="007B2111" w:rsidP="00D51D51">
      <w:pPr>
        <w:rPr>
          <w:rFonts w:eastAsia="바탕체"/>
          <w:lang w:eastAsia="ko-KR"/>
        </w:rPr>
      </w:pPr>
      <w:r>
        <w:rPr>
          <w:rFonts w:eastAsia="바탕체"/>
          <w:lang w:eastAsia="ko-KR"/>
        </w:rPr>
        <w:t>According to the agreements made during s</w:t>
      </w:r>
      <w:r w:rsidR="00BF3B60">
        <w:rPr>
          <w:rFonts w:eastAsia="바탕체"/>
          <w:lang w:eastAsia="ko-KR"/>
        </w:rPr>
        <w:t xml:space="preserve">tudy item </w:t>
      </w:r>
      <w:r>
        <w:rPr>
          <w:rFonts w:eastAsia="바탕체"/>
          <w:lang w:eastAsia="ko-KR"/>
        </w:rPr>
        <w:t>stage</w:t>
      </w:r>
      <w:r w:rsidR="00BF3B60">
        <w:rPr>
          <w:rFonts w:eastAsia="바탕체" w:hint="eastAsia"/>
          <w:lang w:eastAsia="ko-KR"/>
        </w:rPr>
        <w:t>,</w:t>
      </w:r>
      <w:r w:rsidR="00BF3B60">
        <w:rPr>
          <w:rFonts w:eastAsia="바탕체"/>
          <w:lang w:eastAsia="ko-KR"/>
        </w:rPr>
        <w:t xml:space="preserve"> </w:t>
      </w:r>
      <w:r w:rsidR="00BF3B60" w:rsidRPr="00370F42">
        <w:rPr>
          <w:rFonts w:eastAsia="바탕체"/>
          <w:lang w:eastAsia="ko-KR"/>
        </w:rPr>
        <w:t xml:space="preserve">the Tx/Rx timing of the access link of the NCR related to the above </w:t>
      </w:r>
      <w:r w:rsidR="00BF3B60">
        <w:rPr>
          <w:rFonts w:eastAsia="바탕체" w:hint="eastAsia"/>
          <w:lang w:eastAsia="ko-KR"/>
        </w:rPr>
        <w:t>C</w:t>
      </w:r>
      <w:r w:rsidR="00BF3B60" w:rsidRPr="00370F42">
        <w:rPr>
          <w:rFonts w:eastAsia="바탕체"/>
          <w:lang w:eastAsia="ko-KR"/>
        </w:rPr>
        <w:t>omponent 5 is determined as follows. [2]</w:t>
      </w:r>
    </w:p>
    <w:tbl>
      <w:tblPr>
        <w:tblStyle w:val="aa"/>
        <w:tblW w:w="0" w:type="auto"/>
        <w:tblLook w:val="04A0" w:firstRow="1" w:lastRow="0" w:firstColumn="1" w:lastColumn="0" w:noHBand="0" w:noVBand="1"/>
      </w:tblPr>
      <w:tblGrid>
        <w:gridCol w:w="9629"/>
      </w:tblGrid>
      <w:tr w:rsidR="00813382" w:rsidRPr="0031125B" w14:paraId="56197E67" w14:textId="77777777" w:rsidTr="00813382">
        <w:tc>
          <w:tcPr>
            <w:tcW w:w="9629" w:type="dxa"/>
          </w:tcPr>
          <w:p w14:paraId="38A15129" w14:textId="77777777" w:rsidR="00813382" w:rsidRPr="00813382" w:rsidRDefault="00813382" w:rsidP="00011E01">
            <w:pPr>
              <w:autoSpaceDE/>
              <w:autoSpaceDN/>
              <w:snapToGrid w:val="0"/>
              <w:jc w:val="left"/>
              <w:rPr>
                <w:rFonts w:ascii="Times" w:eastAsia="바탕" w:hAnsi="Times" w:cs="Times"/>
                <w:b/>
                <w:bCs/>
                <w:iCs/>
                <w:sz w:val="20"/>
                <w:highlight w:val="green"/>
                <w:lang w:eastAsia="en-US"/>
              </w:rPr>
            </w:pPr>
            <w:r w:rsidRPr="00813382">
              <w:rPr>
                <w:rFonts w:ascii="Times" w:eastAsia="바탕" w:hAnsi="Times" w:cs="Times"/>
                <w:b/>
                <w:bCs/>
                <w:iCs/>
                <w:sz w:val="20"/>
                <w:highlight w:val="green"/>
                <w:lang w:eastAsia="en-US"/>
              </w:rPr>
              <w:t>Agreement</w:t>
            </w:r>
          </w:p>
          <w:p w14:paraId="1FB36E0F" w14:textId="77777777" w:rsidR="00813382" w:rsidRPr="00813382" w:rsidRDefault="00813382" w:rsidP="00011E01">
            <w:pPr>
              <w:autoSpaceDE/>
              <w:autoSpaceDN/>
              <w:jc w:val="left"/>
              <w:rPr>
                <w:rFonts w:ascii="Times" w:eastAsia="바탕" w:hAnsi="Times" w:cs="Times"/>
                <w:iCs/>
                <w:sz w:val="20"/>
                <w:lang w:eastAsia="en-US"/>
              </w:rPr>
            </w:pPr>
            <w:r w:rsidRPr="00813382">
              <w:rPr>
                <w:rFonts w:ascii="Times" w:eastAsia="바탕" w:hAnsi="Times" w:cs="Times"/>
                <w:iCs/>
                <w:sz w:val="20"/>
                <w:lang w:eastAsia="en-US"/>
              </w:rPr>
              <w:t>For the timing of NCR, the following assumption is captured into TR 38.867.</w:t>
            </w:r>
          </w:p>
          <w:p w14:paraId="4191F8F6" w14:textId="77777777" w:rsidR="00813382" w:rsidRPr="00813382" w:rsidRDefault="00813382" w:rsidP="00813382">
            <w:pPr>
              <w:numPr>
                <w:ilvl w:val="0"/>
                <w:numId w:val="41"/>
              </w:numPr>
              <w:overflowPunct/>
              <w:autoSpaceDE/>
              <w:autoSpaceDN/>
              <w:adjustRightInd/>
              <w:snapToGrid w:val="0"/>
              <w:spacing w:after="0"/>
              <w:jc w:val="left"/>
              <w:textAlignment w:val="auto"/>
              <w:rPr>
                <w:rFonts w:ascii="Times" w:eastAsia="바탕" w:hAnsi="Times" w:cs="Times"/>
                <w:sz w:val="20"/>
                <w:szCs w:val="24"/>
                <w:lang w:eastAsia="x-none"/>
              </w:rPr>
            </w:pPr>
            <w:r w:rsidRPr="00813382">
              <w:rPr>
                <w:rFonts w:ascii="Times" w:eastAsia="바탕" w:hAnsi="Times" w:cs="Times"/>
                <w:sz w:val="20"/>
                <w:szCs w:val="24"/>
                <w:lang w:eastAsia="x-none"/>
              </w:rPr>
              <w:t>The DL transmitting timing of the NCR-</w:t>
            </w:r>
            <w:proofErr w:type="spellStart"/>
            <w:r w:rsidRPr="00813382">
              <w:rPr>
                <w:rFonts w:ascii="Times" w:eastAsia="바탕" w:hAnsi="Times" w:cs="Times"/>
                <w:sz w:val="20"/>
                <w:szCs w:val="24"/>
                <w:lang w:eastAsia="x-none"/>
              </w:rPr>
              <w:t>Fwd</w:t>
            </w:r>
            <w:proofErr w:type="spellEnd"/>
            <w:r w:rsidRPr="00813382">
              <w:rPr>
                <w:rFonts w:ascii="Times" w:eastAsia="바탕" w:hAnsi="Times" w:cs="Times"/>
                <w:sz w:val="20"/>
                <w:szCs w:val="24"/>
                <w:lang w:eastAsia="x-none"/>
              </w:rPr>
              <w:t xml:space="preserve"> is delayed after the DL receiving timing of the NCR-MT (or the NCR-</w:t>
            </w:r>
            <w:proofErr w:type="spellStart"/>
            <w:r w:rsidRPr="00813382">
              <w:rPr>
                <w:rFonts w:ascii="Times" w:eastAsia="바탕" w:hAnsi="Times" w:cs="Times"/>
                <w:sz w:val="20"/>
                <w:szCs w:val="24"/>
                <w:lang w:eastAsia="x-none"/>
              </w:rPr>
              <w:t>Fwd</w:t>
            </w:r>
            <w:proofErr w:type="spellEnd"/>
            <w:r w:rsidRPr="00813382">
              <w:rPr>
                <w:rFonts w:ascii="Times" w:eastAsia="바탕" w:hAnsi="Times" w:cs="Times"/>
                <w:sz w:val="20"/>
                <w:szCs w:val="24"/>
                <w:lang w:eastAsia="x-none"/>
              </w:rPr>
              <w:t xml:space="preserve">) by the internal delay; </w:t>
            </w:r>
          </w:p>
          <w:p w14:paraId="2BD644C8" w14:textId="366C7334" w:rsidR="00813382" w:rsidRPr="00813382" w:rsidRDefault="00813382" w:rsidP="00813382">
            <w:pPr>
              <w:numPr>
                <w:ilvl w:val="0"/>
                <w:numId w:val="41"/>
              </w:numPr>
              <w:overflowPunct/>
              <w:autoSpaceDE/>
              <w:autoSpaceDN/>
              <w:adjustRightInd/>
              <w:snapToGrid w:val="0"/>
              <w:spacing w:after="0"/>
              <w:jc w:val="left"/>
              <w:textAlignment w:val="auto"/>
              <w:rPr>
                <w:rFonts w:ascii="Times" w:eastAsia="바탕" w:hAnsi="Times" w:cs="Times"/>
                <w:szCs w:val="24"/>
                <w:lang w:eastAsia="x-none"/>
              </w:rPr>
            </w:pPr>
            <w:r w:rsidRPr="00813382">
              <w:rPr>
                <w:rFonts w:ascii="Times" w:eastAsia="바탕" w:hAnsi="Times" w:cs="Times"/>
                <w:sz w:val="20"/>
                <w:szCs w:val="24"/>
                <w:lang w:eastAsia="x-none"/>
              </w:rPr>
              <w:t>The UL receiving timing of the NCR-</w:t>
            </w:r>
            <w:proofErr w:type="spellStart"/>
            <w:r w:rsidRPr="00813382">
              <w:rPr>
                <w:rFonts w:ascii="Times" w:eastAsia="바탕" w:hAnsi="Times" w:cs="Times"/>
                <w:sz w:val="20"/>
                <w:szCs w:val="24"/>
                <w:lang w:eastAsia="x-none"/>
              </w:rPr>
              <w:t>Fwd</w:t>
            </w:r>
            <w:proofErr w:type="spellEnd"/>
            <w:r w:rsidRPr="00813382">
              <w:rPr>
                <w:rFonts w:ascii="Times" w:eastAsia="바탕" w:hAnsi="Times" w:cs="Times"/>
                <w:sz w:val="20"/>
                <w:szCs w:val="24"/>
                <w:lang w:eastAsia="x-none"/>
              </w:rPr>
              <w:t xml:space="preserve"> is advanced before the UL transmitting timing of the NCR-MT (or the NCR-</w:t>
            </w:r>
            <w:proofErr w:type="spellStart"/>
            <w:r w:rsidRPr="00813382">
              <w:rPr>
                <w:rFonts w:ascii="Times" w:eastAsia="바탕" w:hAnsi="Times" w:cs="Times"/>
                <w:sz w:val="20"/>
                <w:szCs w:val="24"/>
                <w:lang w:eastAsia="x-none"/>
              </w:rPr>
              <w:t>Fwd</w:t>
            </w:r>
            <w:proofErr w:type="spellEnd"/>
            <w:r w:rsidRPr="00813382">
              <w:rPr>
                <w:rFonts w:ascii="Times" w:eastAsia="바탕" w:hAnsi="Times" w:cs="Times"/>
                <w:sz w:val="20"/>
                <w:szCs w:val="24"/>
                <w:lang w:eastAsia="x-none"/>
              </w:rPr>
              <w:t xml:space="preserve">) by the internal delay. </w:t>
            </w:r>
          </w:p>
        </w:tc>
      </w:tr>
    </w:tbl>
    <w:p w14:paraId="55822359" w14:textId="31CA53D1" w:rsidR="005765AA" w:rsidRDefault="005765AA" w:rsidP="00BF3B60">
      <w:pPr>
        <w:spacing w:before="240"/>
        <w:rPr>
          <w:rFonts w:eastAsia="바탕체"/>
          <w:lang w:eastAsia="ko-KR"/>
        </w:rPr>
      </w:pPr>
      <w:r w:rsidRPr="005765AA">
        <w:rPr>
          <w:rFonts w:eastAsia="바탕체"/>
          <w:lang w:eastAsia="ko-KR"/>
        </w:rPr>
        <w:t xml:space="preserve">The NCR determines the Tx/Rx timing of the access link by considering the internal delay value from the Tx/Rx timing of the backhaul link. If the amount of internal delay exceeds the CP length, the internal delay information </w:t>
      </w:r>
      <w:r w:rsidR="003C0BCB">
        <w:rPr>
          <w:rFonts w:eastAsia="바탕체"/>
          <w:lang w:eastAsia="ko-KR"/>
        </w:rPr>
        <w:t>would be</w:t>
      </w:r>
      <w:r w:rsidRPr="005765AA">
        <w:rPr>
          <w:rFonts w:eastAsia="바탕체"/>
          <w:lang w:eastAsia="ko-KR"/>
        </w:rPr>
        <w:t xml:space="preserve"> required for the </w:t>
      </w:r>
      <w:proofErr w:type="spellStart"/>
      <w:r w:rsidRPr="005765AA">
        <w:rPr>
          <w:rFonts w:eastAsia="바탕체"/>
          <w:lang w:eastAsia="ko-KR"/>
        </w:rPr>
        <w:t>gNB</w:t>
      </w:r>
      <w:proofErr w:type="spellEnd"/>
      <w:r w:rsidRPr="005765AA">
        <w:rPr>
          <w:rFonts w:eastAsia="바탕체"/>
          <w:lang w:eastAsia="ko-KR"/>
        </w:rPr>
        <w:t xml:space="preserve"> to configure the appropriate guard interval for DL-UL switching and timing adjustment. </w:t>
      </w:r>
      <w:r w:rsidR="003C0BCB" w:rsidRPr="003C0BCB">
        <w:rPr>
          <w:rFonts w:eastAsia="바탕체"/>
          <w:lang w:val="en-US" w:eastAsia="ko-KR"/>
        </w:rPr>
        <w:t>Therefore, it is important for the NCR to report the internal delay value to the network as an NCR capability.</w:t>
      </w:r>
    </w:p>
    <w:p w14:paraId="6EC7093F" w14:textId="69B78460" w:rsidR="003C0BCB" w:rsidRPr="003C0BCB" w:rsidRDefault="005765AA" w:rsidP="003C0BCB">
      <w:pPr>
        <w:rPr>
          <w:rFonts w:eastAsia="바탕체"/>
          <w:lang w:val="en-US" w:eastAsia="ko-KR"/>
        </w:rPr>
      </w:pPr>
      <w:r w:rsidRPr="005765AA">
        <w:rPr>
          <w:rFonts w:eastAsia="바탕체"/>
          <w:lang w:eastAsia="ko-KR"/>
        </w:rPr>
        <w:t xml:space="preserve">Therefore, </w:t>
      </w:r>
      <w:r w:rsidR="003C0BCB">
        <w:rPr>
          <w:rFonts w:eastAsia="바탕체"/>
          <w:lang w:val="en-US" w:eastAsia="ko-KR"/>
        </w:rPr>
        <w:t>t</w:t>
      </w:r>
      <w:r w:rsidR="003C0BCB" w:rsidRPr="003C0BCB">
        <w:rPr>
          <w:rFonts w:eastAsia="바탕체"/>
          <w:lang w:val="en-US" w:eastAsia="ko-KR"/>
        </w:rPr>
        <w:t xml:space="preserve">o support Component 5 of FG 43-1, the NCR should report capability signaling for internal delay values. This can be achieved by either mandatorily supporting FG 43-1 but making it 'Optional with capability </w:t>
      </w:r>
      <w:r w:rsidR="003C0BCB" w:rsidRPr="003C0BCB">
        <w:rPr>
          <w:rFonts w:eastAsia="바탕체"/>
          <w:lang w:val="en-US" w:eastAsia="ko-KR"/>
        </w:rPr>
        <w:lastRenderedPageBreak/>
        <w:t>signaling' and allowing the NCR-MT to report capability information about internal delay, or by adding a dedicated FG for reporting internal delay separately from FG 43-1.</w:t>
      </w:r>
    </w:p>
    <w:p w14:paraId="51102C90" w14:textId="35789A5F" w:rsidR="00813382" w:rsidRPr="003C0BCB" w:rsidRDefault="00813382" w:rsidP="00D51D51">
      <w:pPr>
        <w:rPr>
          <w:rFonts w:eastAsia="바탕체"/>
          <w:lang w:val="en-US" w:eastAsia="ko-KR"/>
        </w:rPr>
      </w:pPr>
    </w:p>
    <w:p w14:paraId="02ABDA3D" w14:textId="5EF55F83" w:rsidR="00FB448A" w:rsidRPr="00582055" w:rsidRDefault="00FB448A" w:rsidP="00D51D51">
      <w:pPr>
        <w:rPr>
          <w:rFonts w:eastAsia="바탕체"/>
          <w:b/>
          <w:i/>
          <w:lang w:eastAsia="ko-KR"/>
        </w:rPr>
      </w:pPr>
      <w:r w:rsidRPr="00582055">
        <w:rPr>
          <w:rFonts w:eastAsia="바탕체" w:hint="eastAsia"/>
          <w:b/>
          <w:i/>
          <w:lang w:eastAsia="ko-KR"/>
        </w:rPr>
        <w:t>P</w:t>
      </w:r>
      <w:r w:rsidRPr="00582055">
        <w:rPr>
          <w:rFonts w:eastAsia="바탕체"/>
          <w:b/>
          <w:i/>
          <w:lang w:eastAsia="ko-KR"/>
        </w:rPr>
        <w:t xml:space="preserve">roposal 1: </w:t>
      </w:r>
      <w:r w:rsidR="003C0BCB" w:rsidRPr="00582055">
        <w:rPr>
          <w:rFonts w:eastAsia="바탕체"/>
          <w:b/>
          <w:i/>
          <w:lang w:eastAsia="ko-KR"/>
        </w:rPr>
        <w:t>For FG 43-1</w:t>
      </w:r>
      <w:r w:rsidR="0055134E">
        <w:rPr>
          <w:rFonts w:eastAsia="바탕체"/>
          <w:b/>
          <w:i/>
          <w:lang w:eastAsia="ko-KR"/>
        </w:rPr>
        <w:t xml:space="preserve"> (Basic NCR support)</w:t>
      </w:r>
      <w:r w:rsidR="003C0BCB" w:rsidRPr="00582055">
        <w:rPr>
          <w:rFonts w:eastAsia="바탕체"/>
          <w:b/>
          <w:i/>
          <w:lang w:eastAsia="ko-KR"/>
        </w:rPr>
        <w:t>, the NCR-MT reports the value of internal delay required for Tx/Rx timing determination for access link by capability signalling.</w:t>
      </w:r>
    </w:p>
    <w:p w14:paraId="2846669C" w14:textId="2FDB430B" w:rsidR="00955FCC" w:rsidRDefault="00955FCC" w:rsidP="00D51D51">
      <w:pPr>
        <w:rPr>
          <w:rFonts w:eastAsia="바탕체"/>
          <w:lang w:eastAsia="ko-KR"/>
        </w:rPr>
      </w:pPr>
    </w:p>
    <w:p w14:paraId="043200B7" w14:textId="74839B98" w:rsidR="00955FCC" w:rsidRPr="00A84395" w:rsidRDefault="00955FCC" w:rsidP="00955FCC">
      <w:pPr>
        <w:rPr>
          <w:rFonts w:eastAsia="바탕체"/>
          <w:b/>
          <w:u w:val="single"/>
          <w:lang w:eastAsia="ko-KR"/>
        </w:rPr>
      </w:pPr>
      <w:r>
        <w:rPr>
          <w:rFonts w:eastAsia="바탕체"/>
          <w:b/>
          <w:u w:val="single"/>
          <w:lang w:eastAsia="ko-KR"/>
        </w:rPr>
        <w:t>Access link beam indication</w:t>
      </w:r>
    </w:p>
    <w:p w14:paraId="09A7C4B5" w14:textId="076CE3B9" w:rsidR="00955FCC" w:rsidRDefault="00CD26AC" w:rsidP="00D51D51">
      <w:pPr>
        <w:rPr>
          <w:rFonts w:eastAsia="바탕체"/>
          <w:lang w:eastAsia="ko-KR"/>
        </w:rPr>
      </w:pPr>
      <w:r>
        <w:rPr>
          <w:rFonts w:eastAsia="바탕체"/>
          <w:lang w:eastAsia="ko-KR"/>
        </w:rPr>
        <w:t xml:space="preserve">In terms of access link beam indication, three FGs, FG 43-2, 43-3, and 43-4 were made for periodic, aperiodic, and semi-persistent beam indication respectively. Since </w:t>
      </w:r>
      <w:r w:rsidR="003C0BCB">
        <w:rPr>
          <w:rFonts w:eastAsia="바탕체"/>
          <w:lang w:eastAsia="ko-KR"/>
        </w:rPr>
        <w:t>it is</w:t>
      </w:r>
      <w:r w:rsidRPr="00487D81">
        <w:rPr>
          <w:rFonts w:eastAsia="바탕체"/>
          <w:lang w:val="en-US" w:eastAsia="ko-KR"/>
        </w:rPr>
        <w:t xml:space="preserve"> crucial to support at least one of these three FGs to enable NCR-</w:t>
      </w:r>
      <w:proofErr w:type="spellStart"/>
      <w:r w:rsidRPr="00487D81">
        <w:rPr>
          <w:rFonts w:eastAsia="바탕체"/>
          <w:lang w:val="en-US" w:eastAsia="ko-KR"/>
        </w:rPr>
        <w:t>Fwd</w:t>
      </w:r>
      <w:proofErr w:type="spellEnd"/>
      <w:r w:rsidRPr="00487D81">
        <w:rPr>
          <w:rFonts w:eastAsia="바탕체"/>
          <w:lang w:val="en-US" w:eastAsia="ko-KR"/>
        </w:rPr>
        <w:t xml:space="preserve"> to operate in the ON state</w:t>
      </w:r>
      <w:r>
        <w:rPr>
          <w:rFonts w:eastAsia="바탕체"/>
          <w:lang w:val="en-US" w:eastAsia="ko-KR"/>
        </w:rPr>
        <w:t>, i</w:t>
      </w:r>
      <w:r w:rsidRPr="00487D81">
        <w:rPr>
          <w:rFonts w:eastAsia="바탕체"/>
          <w:lang w:val="en-US" w:eastAsia="ko-KR"/>
        </w:rPr>
        <w:t>t was noted that at least one of these FGs would be merged with FG 43-1</w:t>
      </w:r>
      <w:r>
        <w:rPr>
          <w:rFonts w:eastAsia="바탕체"/>
          <w:lang w:val="en-US" w:eastAsia="ko-KR"/>
        </w:rPr>
        <w:t>.</w:t>
      </w:r>
      <w:r w:rsidRPr="00CD26AC">
        <w:rPr>
          <w:rFonts w:eastAsia="바탕체"/>
          <w:lang w:val="en-US" w:eastAsia="ko-KR"/>
        </w:rPr>
        <w:t xml:space="preserve"> </w:t>
      </w:r>
    </w:p>
    <w:p w14:paraId="129274B7" w14:textId="7BB03E39" w:rsidR="00487D81" w:rsidRPr="00487D81" w:rsidRDefault="00487D81" w:rsidP="00487D81">
      <w:pPr>
        <w:rPr>
          <w:rFonts w:eastAsia="바탕체"/>
          <w:lang w:val="en-US" w:eastAsia="ko-KR"/>
        </w:rPr>
      </w:pPr>
      <w:r w:rsidRPr="00487D81">
        <w:rPr>
          <w:rFonts w:eastAsia="바탕체"/>
          <w:lang w:val="en-US" w:eastAsia="ko-KR"/>
        </w:rPr>
        <w:t>We suggest that aperiodic indication should be included in FG 43-1, which is the basic feature for NCR support, as we believe it is the most adaptable indication method.</w:t>
      </w:r>
    </w:p>
    <w:p w14:paraId="14F96C2F" w14:textId="0970C226" w:rsidR="00955FCC" w:rsidRDefault="00955FCC" w:rsidP="00D51D51">
      <w:pPr>
        <w:rPr>
          <w:rFonts w:eastAsia="바탕체"/>
          <w:lang w:eastAsia="ko-KR"/>
        </w:rPr>
      </w:pPr>
    </w:p>
    <w:p w14:paraId="45D4D876" w14:textId="57C63131" w:rsidR="00D654A8" w:rsidRPr="005E76FD" w:rsidRDefault="00D654A8" w:rsidP="00D51D51">
      <w:pPr>
        <w:rPr>
          <w:rFonts w:eastAsia="바탕체"/>
          <w:b/>
          <w:i/>
          <w:lang w:eastAsia="ko-KR"/>
        </w:rPr>
      </w:pPr>
      <w:r w:rsidRPr="005E76FD">
        <w:rPr>
          <w:rFonts w:eastAsia="바탕체" w:hint="eastAsia"/>
          <w:b/>
          <w:i/>
          <w:lang w:eastAsia="ko-KR"/>
        </w:rPr>
        <w:t>P</w:t>
      </w:r>
      <w:r w:rsidRPr="005E76FD">
        <w:rPr>
          <w:rFonts w:eastAsia="바탕체"/>
          <w:b/>
          <w:i/>
          <w:lang w:eastAsia="ko-KR"/>
        </w:rPr>
        <w:t xml:space="preserve">roposal 2: </w:t>
      </w:r>
      <w:r w:rsidR="005E76FD" w:rsidRPr="005E76FD">
        <w:rPr>
          <w:rFonts w:eastAsia="바탕체"/>
          <w:b/>
          <w:i/>
          <w:lang w:eastAsia="ko-KR"/>
        </w:rPr>
        <w:t>FG 43-3</w:t>
      </w:r>
      <w:r w:rsidR="005E76FD">
        <w:rPr>
          <w:rFonts w:eastAsia="바탕체"/>
          <w:b/>
          <w:i/>
          <w:lang w:eastAsia="ko-KR"/>
        </w:rPr>
        <w:t xml:space="preserve"> (</w:t>
      </w:r>
      <w:r w:rsidR="005E76FD" w:rsidRPr="005E76FD">
        <w:rPr>
          <w:rFonts w:eastAsia="바탕체"/>
          <w:b/>
          <w:i/>
          <w:lang w:eastAsia="ko-KR"/>
        </w:rPr>
        <w:t>aperiodic beam indication for access link</w:t>
      </w:r>
      <w:r w:rsidR="005E76FD">
        <w:rPr>
          <w:rFonts w:eastAsia="바탕체"/>
          <w:b/>
          <w:i/>
          <w:lang w:eastAsia="ko-KR"/>
        </w:rPr>
        <w:t>)</w:t>
      </w:r>
      <w:r w:rsidR="005E76FD" w:rsidRPr="005E76FD">
        <w:rPr>
          <w:rFonts w:eastAsia="바탕체"/>
          <w:b/>
          <w:i/>
          <w:lang w:eastAsia="ko-KR"/>
        </w:rPr>
        <w:t xml:space="preserve"> is merged to FG 43-1</w:t>
      </w:r>
      <w:r w:rsidR="0055134E">
        <w:rPr>
          <w:rFonts w:eastAsia="바탕체"/>
          <w:b/>
          <w:i/>
          <w:lang w:eastAsia="ko-KR"/>
        </w:rPr>
        <w:t xml:space="preserve"> (Basic NCR support)</w:t>
      </w:r>
      <w:r w:rsidR="005E76FD" w:rsidRPr="005E76FD">
        <w:rPr>
          <w:rFonts w:eastAsia="바탕체"/>
          <w:b/>
          <w:i/>
          <w:lang w:eastAsia="ko-KR"/>
        </w:rPr>
        <w:t>.</w:t>
      </w:r>
    </w:p>
    <w:p w14:paraId="27EA2E45" w14:textId="77777777" w:rsidR="00D6043B" w:rsidRPr="00881A8D" w:rsidRDefault="00D6043B" w:rsidP="00D51D51">
      <w:pPr>
        <w:rPr>
          <w:rFonts w:eastAsia="바탕체"/>
          <w:lang w:eastAsia="ko-KR"/>
        </w:rPr>
      </w:pPr>
    </w:p>
    <w:p w14:paraId="38B9535B" w14:textId="77777777" w:rsidR="0017469A" w:rsidRPr="00047351" w:rsidRDefault="00E74F76" w:rsidP="0017469A">
      <w:pPr>
        <w:pStyle w:val="1"/>
      </w:pPr>
      <w:r w:rsidRPr="00047351">
        <w:t>Summary</w:t>
      </w:r>
    </w:p>
    <w:p w14:paraId="15648F79" w14:textId="622AB363" w:rsidR="00344308" w:rsidRDefault="00EC6E39" w:rsidP="00344308">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we </w:t>
      </w:r>
      <w:r w:rsidR="00C653F4">
        <w:rPr>
          <w:rFonts w:hint="eastAsia"/>
          <w:lang w:val="en-US" w:eastAsia="ko-KR"/>
        </w:rPr>
        <w:t xml:space="preserve">discuss </w:t>
      </w:r>
      <w:r w:rsidR="00B84DB7" w:rsidRPr="00B84DB7">
        <w:rPr>
          <w:lang w:val="en-US" w:eastAsia="ko-KR"/>
        </w:rPr>
        <w:t xml:space="preserve">UE features for </w:t>
      </w:r>
      <w:r w:rsidR="00B84DB7">
        <w:rPr>
          <w:lang w:val="en-US" w:eastAsia="ko-KR"/>
        </w:rPr>
        <w:t xml:space="preserve">Rel-18 </w:t>
      </w:r>
      <w:r w:rsidR="00B84DB7" w:rsidRPr="00B84DB7">
        <w:rPr>
          <w:lang w:val="en-US" w:eastAsia="ko-KR"/>
        </w:rPr>
        <w:t>NCR</w:t>
      </w:r>
      <w:r w:rsidR="00B84DB7">
        <w:rPr>
          <w:lang w:val="en-US" w:eastAsia="ko-KR"/>
        </w:rPr>
        <w:t xml:space="preserve"> and </w:t>
      </w:r>
      <w:r w:rsidR="00C653F4">
        <w:rPr>
          <w:lang w:eastAsia="ko-KR"/>
        </w:rPr>
        <w:t xml:space="preserve">obtained </w:t>
      </w:r>
      <w:r w:rsidR="003B75C4">
        <w:rPr>
          <w:lang w:eastAsia="ko-KR"/>
        </w:rPr>
        <w:t xml:space="preserve">the </w:t>
      </w:r>
      <w:r w:rsidR="00C653F4">
        <w:rPr>
          <w:lang w:eastAsia="ko-KR"/>
        </w:rPr>
        <w:t>following proposal</w:t>
      </w:r>
      <w:r w:rsidR="004864AD">
        <w:rPr>
          <w:lang w:eastAsia="ko-KR"/>
        </w:rPr>
        <w:t>s</w:t>
      </w:r>
      <w:r w:rsidR="00C653F4">
        <w:rPr>
          <w:lang w:eastAsia="ko-KR"/>
        </w:rPr>
        <w:t>.</w:t>
      </w:r>
      <w:r w:rsidR="00CF5A0B">
        <w:rPr>
          <w:rFonts w:hint="eastAsia"/>
          <w:lang w:val="en-US" w:eastAsia="ko-KR"/>
        </w:rPr>
        <w:t xml:space="preserve"> </w:t>
      </w:r>
    </w:p>
    <w:p w14:paraId="1B30C079" w14:textId="77777777" w:rsidR="0055134E" w:rsidRDefault="0055134E" w:rsidP="00344308">
      <w:pPr>
        <w:rPr>
          <w:rFonts w:eastAsia="바탕체"/>
          <w:b/>
          <w:i/>
          <w:lang w:val="en-US" w:eastAsia="ko-KR"/>
        </w:rPr>
      </w:pPr>
    </w:p>
    <w:p w14:paraId="0CF7E717" w14:textId="77777777" w:rsidR="0055134E" w:rsidRPr="00582055" w:rsidRDefault="0055134E" w:rsidP="0055134E">
      <w:pPr>
        <w:rPr>
          <w:rFonts w:eastAsia="바탕체"/>
          <w:b/>
          <w:i/>
          <w:lang w:eastAsia="ko-KR"/>
        </w:rPr>
      </w:pPr>
      <w:r w:rsidRPr="00582055">
        <w:rPr>
          <w:rFonts w:eastAsia="바탕체" w:hint="eastAsia"/>
          <w:b/>
          <w:i/>
          <w:lang w:eastAsia="ko-KR"/>
        </w:rPr>
        <w:t>P</w:t>
      </w:r>
      <w:r w:rsidRPr="00582055">
        <w:rPr>
          <w:rFonts w:eastAsia="바탕체"/>
          <w:b/>
          <w:i/>
          <w:lang w:eastAsia="ko-KR"/>
        </w:rPr>
        <w:t>roposal 1: For FG 43-1</w:t>
      </w:r>
      <w:r>
        <w:rPr>
          <w:rFonts w:eastAsia="바탕체"/>
          <w:b/>
          <w:i/>
          <w:lang w:eastAsia="ko-KR"/>
        </w:rPr>
        <w:t xml:space="preserve"> (Basic NCR support)</w:t>
      </w:r>
      <w:r w:rsidRPr="00582055">
        <w:rPr>
          <w:rFonts w:eastAsia="바탕체"/>
          <w:b/>
          <w:i/>
          <w:lang w:eastAsia="ko-KR"/>
        </w:rPr>
        <w:t>, the NCR-MT reports the value of internal delay required for Tx/Rx timing determination for access link by capability signalling.</w:t>
      </w:r>
    </w:p>
    <w:p w14:paraId="1D690D2A" w14:textId="77777777" w:rsidR="0055134E" w:rsidRPr="005E76FD" w:rsidRDefault="0055134E" w:rsidP="0055134E">
      <w:pPr>
        <w:rPr>
          <w:rFonts w:eastAsia="바탕체"/>
          <w:b/>
          <w:i/>
          <w:lang w:eastAsia="ko-KR"/>
        </w:rPr>
      </w:pPr>
      <w:r w:rsidRPr="005E76FD">
        <w:rPr>
          <w:rFonts w:eastAsia="바탕체" w:hint="eastAsia"/>
          <w:b/>
          <w:i/>
          <w:lang w:eastAsia="ko-KR"/>
        </w:rPr>
        <w:t>P</w:t>
      </w:r>
      <w:r w:rsidRPr="005E76FD">
        <w:rPr>
          <w:rFonts w:eastAsia="바탕체"/>
          <w:b/>
          <w:i/>
          <w:lang w:eastAsia="ko-KR"/>
        </w:rPr>
        <w:t>roposal 2: FG 43-3</w:t>
      </w:r>
      <w:r>
        <w:rPr>
          <w:rFonts w:eastAsia="바탕체"/>
          <w:b/>
          <w:i/>
          <w:lang w:eastAsia="ko-KR"/>
        </w:rPr>
        <w:t xml:space="preserve"> (</w:t>
      </w:r>
      <w:r w:rsidRPr="005E76FD">
        <w:rPr>
          <w:rFonts w:eastAsia="바탕체"/>
          <w:b/>
          <w:i/>
          <w:lang w:eastAsia="ko-KR"/>
        </w:rPr>
        <w:t>aperiodic beam indication for access link</w:t>
      </w:r>
      <w:r>
        <w:rPr>
          <w:rFonts w:eastAsia="바탕체"/>
          <w:b/>
          <w:i/>
          <w:lang w:eastAsia="ko-KR"/>
        </w:rPr>
        <w:t>)</w:t>
      </w:r>
      <w:r w:rsidRPr="005E76FD">
        <w:rPr>
          <w:rFonts w:eastAsia="바탕체"/>
          <w:b/>
          <w:i/>
          <w:lang w:eastAsia="ko-KR"/>
        </w:rPr>
        <w:t xml:space="preserve"> is merged to FG 43-1</w:t>
      </w:r>
      <w:r>
        <w:rPr>
          <w:rFonts w:eastAsia="바탕체"/>
          <w:b/>
          <w:i/>
          <w:lang w:eastAsia="ko-KR"/>
        </w:rPr>
        <w:t xml:space="preserve"> (Basic NCR support)</w:t>
      </w:r>
      <w:r w:rsidRPr="005E76FD">
        <w:rPr>
          <w:rFonts w:eastAsia="바탕체"/>
          <w:b/>
          <w:i/>
          <w:lang w:eastAsia="ko-KR"/>
        </w:rPr>
        <w:t>.</w:t>
      </w:r>
    </w:p>
    <w:p w14:paraId="520527DB" w14:textId="77777777" w:rsidR="00CF5A0B" w:rsidRPr="00B84DB7" w:rsidRDefault="00CF5A0B" w:rsidP="00965BFD">
      <w:pPr>
        <w:rPr>
          <w:b/>
          <w:i/>
          <w:lang w:eastAsia="ko-KR"/>
        </w:rPr>
      </w:pPr>
    </w:p>
    <w:p w14:paraId="432F0038" w14:textId="77777777" w:rsidR="003C360B" w:rsidRPr="007B2111" w:rsidRDefault="003C360B" w:rsidP="003C360B">
      <w:pPr>
        <w:pStyle w:val="1"/>
      </w:pPr>
      <w:r w:rsidRPr="007B2111">
        <w:t>Reference</w:t>
      </w:r>
    </w:p>
    <w:p w14:paraId="265A56E6" w14:textId="5E0C62B3" w:rsidR="00450ACD" w:rsidRPr="00450ACD" w:rsidRDefault="007B2111"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sidRPr="007B2111">
        <w:rPr>
          <w:kern w:val="2"/>
          <w:lang w:eastAsia="ko-KR"/>
        </w:rPr>
        <w:t>Moderators (AT&amp;T, NTT DOCOMO, INC.</w:t>
      </w:r>
      <w:r>
        <w:rPr>
          <w:kern w:val="2"/>
          <w:lang w:eastAsia="ko-KR"/>
        </w:rPr>
        <w:t>, “</w:t>
      </w:r>
      <w:r w:rsidRPr="007B2111">
        <w:rPr>
          <w:kern w:val="2"/>
          <w:lang w:eastAsia="ko-KR"/>
        </w:rPr>
        <w:t>Initial RAN1 UE features list for Rel-18 NR after RAN1#112bis-e</w:t>
      </w:r>
      <w:r>
        <w:rPr>
          <w:kern w:val="2"/>
          <w:lang w:eastAsia="ko-KR"/>
        </w:rPr>
        <w:t xml:space="preserve">,” </w:t>
      </w:r>
      <w:r w:rsidR="00450ACD">
        <w:rPr>
          <w:kern w:val="2"/>
          <w:lang w:eastAsia="ko-KR"/>
        </w:rPr>
        <w:t xml:space="preserve">R1-2304282, </w:t>
      </w:r>
      <w:r>
        <w:rPr>
          <w:kern w:val="2"/>
          <w:lang w:eastAsia="ko-KR"/>
        </w:rPr>
        <w:t>e-Meeting, April 17th – 26th, 2023</w:t>
      </w:r>
    </w:p>
    <w:p w14:paraId="5B87977F" w14:textId="5D78DA3F" w:rsidR="002B7EB3" w:rsidRPr="00955FCC" w:rsidRDefault="002B7EB3" w:rsidP="002B7EB3">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Pr="003E072B">
        <w:rPr>
          <w:kern w:val="2"/>
          <w:lang w:eastAsia="ko-KR"/>
        </w:rPr>
        <w:t>’s note in RAN1#11</w:t>
      </w:r>
      <w:r w:rsidR="00813382">
        <w:rPr>
          <w:kern w:val="2"/>
          <w:lang w:eastAsia="ko-KR"/>
        </w:rPr>
        <w:t>0</w:t>
      </w:r>
      <w:r w:rsidRPr="003E072B">
        <w:rPr>
          <w:kern w:val="2"/>
          <w:lang w:eastAsia="ko-KR"/>
        </w:rPr>
        <w:t xml:space="preserve"> meeting</w:t>
      </w:r>
    </w:p>
    <w:p w14:paraId="5EE9083C" w14:textId="77777777" w:rsidR="00955FCC" w:rsidRPr="00955FCC" w:rsidRDefault="00955FCC" w:rsidP="00955FCC">
      <w:pPr>
        <w:tabs>
          <w:tab w:val="num" w:pos="942"/>
        </w:tabs>
        <w:overflowPunct/>
        <w:autoSpaceDE/>
        <w:autoSpaceDN/>
        <w:adjustRightInd/>
        <w:spacing w:before="50" w:afterLines="50" w:line="240" w:lineRule="atLeast"/>
        <w:textAlignment w:val="auto"/>
        <w:rPr>
          <w:lang w:val="en-US" w:eastAsia="ko-KR"/>
        </w:rPr>
      </w:pPr>
    </w:p>
    <w:sectPr w:rsidR="00955FCC" w:rsidRPr="00955F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8645B" w14:textId="77777777" w:rsidR="006479D3" w:rsidRDefault="006479D3">
      <w:pPr>
        <w:spacing w:after="0"/>
      </w:pPr>
      <w:r>
        <w:separator/>
      </w:r>
    </w:p>
  </w:endnote>
  <w:endnote w:type="continuationSeparator" w:id="0">
    <w:p w14:paraId="69006D66" w14:textId="77777777" w:rsidR="006479D3" w:rsidRDefault="006479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1E1C894" w:rsidR="006F3C21" w:rsidRDefault="006F3C2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5</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8FD41" w14:textId="77777777" w:rsidR="006479D3" w:rsidRDefault="006479D3">
      <w:pPr>
        <w:spacing w:after="0"/>
      </w:pPr>
      <w:r>
        <w:separator/>
      </w:r>
    </w:p>
  </w:footnote>
  <w:footnote w:type="continuationSeparator" w:id="0">
    <w:p w14:paraId="3E60AFAD" w14:textId="77777777" w:rsidR="006479D3" w:rsidRDefault="006479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6F3C21" w:rsidRDefault="006F3C21">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D23A0A"/>
    <w:multiLevelType w:val="hybridMultilevel"/>
    <w:tmpl w:val="6BF896B6"/>
    <w:lvl w:ilvl="0" w:tplc="11A8AA12">
      <w:start w:val="1"/>
      <w:numFmt w:val="decimal"/>
      <w:lvlText w:val="4-%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CBE0D6F"/>
    <w:multiLevelType w:val="hybridMultilevel"/>
    <w:tmpl w:val="6B6C7F44"/>
    <w:lvl w:ilvl="0" w:tplc="0FC0AEC6">
      <w:start w:val="1"/>
      <w:numFmt w:val="decimal"/>
      <w:lvlText w:val="1-%1."/>
      <w:lvlJc w:val="left"/>
      <w:pPr>
        <w:ind w:left="800" w:hanging="400"/>
      </w:pPr>
      <w:rPr>
        <w:rFonts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07761A5"/>
    <w:multiLevelType w:val="hybridMultilevel"/>
    <w:tmpl w:val="9B4A0B74"/>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543DC5"/>
    <w:multiLevelType w:val="hybridMultilevel"/>
    <w:tmpl w:val="EBC46978"/>
    <w:lvl w:ilvl="0" w:tplc="056E979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F442A5"/>
    <w:multiLevelType w:val="hybridMultilevel"/>
    <w:tmpl w:val="16CE588C"/>
    <w:lvl w:ilvl="0" w:tplc="7B7A54CC">
      <w:start w:val="1"/>
      <w:numFmt w:val="decimal"/>
      <w:lvlText w:val="3-%1."/>
      <w:lvlJc w:val="left"/>
      <w:pPr>
        <w:ind w:left="800" w:hanging="400"/>
      </w:pPr>
      <w:rPr>
        <w:rFonts w:hint="eastAsia"/>
        <w:i w:val="0"/>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59C16A6"/>
    <w:multiLevelType w:val="hybridMultilevel"/>
    <w:tmpl w:val="D458DA14"/>
    <w:lvl w:ilvl="0" w:tplc="E17E1996">
      <w:start w:val="1"/>
      <w:numFmt w:val="decimal"/>
      <w:lvlText w:val="3-%1."/>
      <w:lvlJc w:val="left"/>
      <w:pPr>
        <w:ind w:left="800" w:hanging="400"/>
      </w:pPr>
      <w:rPr>
        <w:rFonts w:hint="eastAsia"/>
        <w:i w:val="0"/>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10526F"/>
    <w:multiLevelType w:val="hybridMultilevel"/>
    <w:tmpl w:val="BC7EAFB4"/>
    <w:lvl w:ilvl="0" w:tplc="37E6E6AE">
      <w:start w:val="1"/>
      <w:numFmt w:val="decimal"/>
      <w:lvlText w:val="2-%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50C7BFD"/>
    <w:multiLevelType w:val="hybridMultilevel"/>
    <w:tmpl w:val="1A5209CA"/>
    <w:lvl w:ilvl="0" w:tplc="24202F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B0772D"/>
    <w:multiLevelType w:val="hybridMultilevel"/>
    <w:tmpl w:val="BC7EAFB4"/>
    <w:lvl w:ilvl="0" w:tplc="37E6E6AE">
      <w:start w:val="1"/>
      <w:numFmt w:val="decimal"/>
      <w:lvlText w:val="2-%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2E45E6"/>
    <w:multiLevelType w:val="hybridMultilevel"/>
    <w:tmpl w:val="AC1406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BC1C56"/>
    <w:multiLevelType w:val="hybridMultilevel"/>
    <w:tmpl w:val="6BF896B6"/>
    <w:lvl w:ilvl="0" w:tplc="11A8AA12">
      <w:start w:val="1"/>
      <w:numFmt w:val="decimal"/>
      <w:lvlText w:val="4-%1."/>
      <w:lvlJc w:val="left"/>
      <w:pPr>
        <w:ind w:left="800" w:hanging="400"/>
      </w:pPr>
      <w:rPr>
        <w:rFonts w:hint="eastAsia"/>
      </w:rPr>
    </w:lvl>
    <w:lvl w:ilvl="1" w:tplc="056E9796">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A40B04"/>
    <w:multiLevelType w:val="hybridMultilevel"/>
    <w:tmpl w:val="6B6C7F44"/>
    <w:lvl w:ilvl="0" w:tplc="0FC0AEC6">
      <w:start w:val="1"/>
      <w:numFmt w:val="decimal"/>
      <w:lvlText w:val="1-%1."/>
      <w:lvlJc w:val="left"/>
      <w:pPr>
        <w:ind w:left="800" w:hanging="400"/>
      </w:pPr>
      <w:rPr>
        <w:rFonts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1"/>
  </w:num>
  <w:num w:numId="8">
    <w:abstractNumId w:val="29"/>
  </w:num>
  <w:num w:numId="9">
    <w:abstractNumId w:val="38"/>
  </w:num>
  <w:num w:numId="10">
    <w:abstractNumId w:val="21"/>
    <w:lvlOverride w:ilvl="0">
      <w:startOverride w:val="1"/>
    </w:lvlOverride>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
  </w:num>
  <w:num w:numId="15">
    <w:abstractNumId w:val="5"/>
  </w:num>
  <w:num w:numId="16">
    <w:abstractNumId w:val="35"/>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39"/>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20"/>
  </w:num>
  <w:num w:numId="23">
    <w:abstractNumId w:val="18"/>
  </w:num>
  <w:num w:numId="24">
    <w:abstractNumId w:val="14"/>
  </w:num>
  <w:num w:numId="25">
    <w:abstractNumId w:val="22"/>
  </w:num>
  <w:num w:numId="26">
    <w:abstractNumId w:val="40"/>
  </w:num>
  <w:num w:numId="27">
    <w:abstractNumId w:val="19"/>
  </w:num>
  <w:num w:numId="28">
    <w:abstractNumId w:val="11"/>
  </w:num>
  <w:num w:numId="29">
    <w:abstractNumId w:val="8"/>
  </w:num>
  <w:num w:numId="30">
    <w:abstractNumId w:val="34"/>
  </w:num>
  <w:num w:numId="31">
    <w:abstractNumId w:val="10"/>
  </w:num>
  <w:num w:numId="32">
    <w:abstractNumId w:val="12"/>
  </w:num>
  <w:num w:numId="33">
    <w:abstractNumId w:val="37"/>
  </w:num>
  <w:num w:numId="34">
    <w:abstractNumId w:val="42"/>
  </w:num>
  <w:num w:numId="35">
    <w:abstractNumId w:val="23"/>
  </w:num>
  <w:num w:numId="36">
    <w:abstractNumId w:val="13"/>
  </w:num>
  <w:num w:numId="37">
    <w:abstractNumId w:val="4"/>
  </w:num>
  <w:num w:numId="38">
    <w:abstractNumId w:val="36"/>
  </w:num>
  <w:num w:numId="39">
    <w:abstractNumId w:val="32"/>
  </w:num>
  <w:num w:numId="40">
    <w:abstractNumId w:val="9"/>
  </w:num>
  <w:num w:numId="41">
    <w:abstractNumId w:val="7"/>
  </w:num>
  <w:num w:numId="42">
    <w:abstractNumId w:val="16"/>
  </w:num>
  <w:num w:numId="43">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C63"/>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7EF"/>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5E11"/>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41D"/>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1EC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406A"/>
    <w:rsid w:val="002F432D"/>
    <w:rsid w:val="002F5E21"/>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E28"/>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6FA0"/>
    <w:rsid w:val="003172FA"/>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42"/>
    <w:rsid w:val="00371A0F"/>
    <w:rsid w:val="00371B50"/>
    <w:rsid w:val="00371C94"/>
    <w:rsid w:val="003720EE"/>
    <w:rsid w:val="00372257"/>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69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DA2"/>
    <w:rsid w:val="003B6ECC"/>
    <w:rsid w:val="003B75C4"/>
    <w:rsid w:val="003B7B7A"/>
    <w:rsid w:val="003B7ED6"/>
    <w:rsid w:val="003C021C"/>
    <w:rsid w:val="003C08E8"/>
    <w:rsid w:val="003C0A91"/>
    <w:rsid w:val="003C0BCB"/>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2FD"/>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AC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5F0F"/>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81"/>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A33"/>
    <w:rsid w:val="00547FBE"/>
    <w:rsid w:val="005501CE"/>
    <w:rsid w:val="00550BF4"/>
    <w:rsid w:val="0055134E"/>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5AA"/>
    <w:rsid w:val="00576725"/>
    <w:rsid w:val="0057688F"/>
    <w:rsid w:val="00577400"/>
    <w:rsid w:val="00577CBA"/>
    <w:rsid w:val="00580238"/>
    <w:rsid w:val="00580D19"/>
    <w:rsid w:val="0058116F"/>
    <w:rsid w:val="005811BE"/>
    <w:rsid w:val="0058148C"/>
    <w:rsid w:val="0058160F"/>
    <w:rsid w:val="00582055"/>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3F57"/>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8C4"/>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6FD"/>
    <w:rsid w:val="005E794C"/>
    <w:rsid w:val="005E7BB3"/>
    <w:rsid w:val="005F0062"/>
    <w:rsid w:val="005F086F"/>
    <w:rsid w:val="005F09AF"/>
    <w:rsid w:val="005F11BE"/>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9D3"/>
    <w:rsid w:val="00647EE6"/>
    <w:rsid w:val="00650025"/>
    <w:rsid w:val="0065019F"/>
    <w:rsid w:val="00650671"/>
    <w:rsid w:val="00650F06"/>
    <w:rsid w:val="00651A24"/>
    <w:rsid w:val="0065239C"/>
    <w:rsid w:val="00652553"/>
    <w:rsid w:val="00652881"/>
    <w:rsid w:val="00652D08"/>
    <w:rsid w:val="00653673"/>
    <w:rsid w:val="006536EF"/>
    <w:rsid w:val="00653877"/>
    <w:rsid w:val="00654382"/>
    <w:rsid w:val="006548AA"/>
    <w:rsid w:val="00654BDD"/>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A3D"/>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A58"/>
    <w:rsid w:val="006B7E2B"/>
    <w:rsid w:val="006B7E3D"/>
    <w:rsid w:val="006C209E"/>
    <w:rsid w:val="006C2C69"/>
    <w:rsid w:val="006C3016"/>
    <w:rsid w:val="006C345D"/>
    <w:rsid w:val="006C3B51"/>
    <w:rsid w:val="006C3DC8"/>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C21"/>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815"/>
    <w:rsid w:val="00721B56"/>
    <w:rsid w:val="00722282"/>
    <w:rsid w:val="007222CD"/>
    <w:rsid w:val="007223DA"/>
    <w:rsid w:val="00722F13"/>
    <w:rsid w:val="00722F4E"/>
    <w:rsid w:val="00722FDD"/>
    <w:rsid w:val="007234DF"/>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45BA"/>
    <w:rsid w:val="00755664"/>
    <w:rsid w:val="007559C1"/>
    <w:rsid w:val="007559FC"/>
    <w:rsid w:val="00755B60"/>
    <w:rsid w:val="007564A7"/>
    <w:rsid w:val="00756746"/>
    <w:rsid w:val="0075687A"/>
    <w:rsid w:val="00756BAF"/>
    <w:rsid w:val="00756F1E"/>
    <w:rsid w:val="007570C6"/>
    <w:rsid w:val="00757338"/>
    <w:rsid w:val="007575C6"/>
    <w:rsid w:val="00757E14"/>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111"/>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382"/>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2670"/>
    <w:rsid w:val="00862CA1"/>
    <w:rsid w:val="00862DD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A8D"/>
    <w:rsid w:val="00881B76"/>
    <w:rsid w:val="00881D88"/>
    <w:rsid w:val="008820D3"/>
    <w:rsid w:val="008827FB"/>
    <w:rsid w:val="00882DBC"/>
    <w:rsid w:val="00883005"/>
    <w:rsid w:val="00883B1B"/>
    <w:rsid w:val="00883D44"/>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3F3"/>
    <w:rsid w:val="00893C7E"/>
    <w:rsid w:val="00894B47"/>
    <w:rsid w:val="00894E08"/>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98"/>
    <w:rsid w:val="008F12FD"/>
    <w:rsid w:val="008F1E40"/>
    <w:rsid w:val="008F1EE5"/>
    <w:rsid w:val="008F1EF7"/>
    <w:rsid w:val="008F213B"/>
    <w:rsid w:val="008F23F7"/>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770"/>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9FA"/>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5FCC"/>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2DB"/>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007"/>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15"/>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53AD"/>
    <w:rsid w:val="009E600F"/>
    <w:rsid w:val="009E6789"/>
    <w:rsid w:val="009E6C67"/>
    <w:rsid w:val="009E75CA"/>
    <w:rsid w:val="009E7751"/>
    <w:rsid w:val="009E796D"/>
    <w:rsid w:val="009F039C"/>
    <w:rsid w:val="009F121D"/>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02D"/>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1FE8"/>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395"/>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5C"/>
    <w:rsid w:val="00A9237C"/>
    <w:rsid w:val="00A926CA"/>
    <w:rsid w:val="00A9286A"/>
    <w:rsid w:val="00A92947"/>
    <w:rsid w:val="00A92A3D"/>
    <w:rsid w:val="00A92C6F"/>
    <w:rsid w:val="00A92D4B"/>
    <w:rsid w:val="00A92E76"/>
    <w:rsid w:val="00A93C37"/>
    <w:rsid w:val="00A950C4"/>
    <w:rsid w:val="00A954A5"/>
    <w:rsid w:val="00A954BA"/>
    <w:rsid w:val="00A95556"/>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D5A"/>
    <w:rsid w:val="00AC3ED0"/>
    <w:rsid w:val="00AC3F27"/>
    <w:rsid w:val="00AC404B"/>
    <w:rsid w:val="00AC41CF"/>
    <w:rsid w:val="00AC4B16"/>
    <w:rsid w:val="00AC4E86"/>
    <w:rsid w:val="00AC5D77"/>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205DB"/>
    <w:rsid w:val="00B2090E"/>
    <w:rsid w:val="00B20914"/>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4DB7"/>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6EF1"/>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9C"/>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32"/>
    <w:rsid w:val="00BF289C"/>
    <w:rsid w:val="00BF2A08"/>
    <w:rsid w:val="00BF2AA9"/>
    <w:rsid w:val="00BF3A43"/>
    <w:rsid w:val="00BF3B60"/>
    <w:rsid w:val="00BF3BD0"/>
    <w:rsid w:val="00BF4D5E"/>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BDB"/>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6AC"/>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43B"/>
    <w:rsid w:val="00D608EF"/>
    <w:rsid w:val="00D60A9B"/>
    <w:rsid w:val="00D6155B"/>
    <w:rsid w:val="00D622E0"/>
    <w:rsid w:val="00D62BEE"/>
    <w:rsid w:val="00D62F00"/>
    <w:rsid w:val="00D63473"/>
    <w:rsid w:val="00D63C17"/>
    <w:rsid w:val="00D6490B"/>
    <w:rsid w:val="00D64D91"/>
    <w:rsid w:val="00D651CD"/>
    <w:rsid w:val="00D651D9"/>
    <w:rsid w:val="00D653F1"/>
    <w:rsid w:val="00D654A8"/>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5B5"/>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B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053"/>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75D"/>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03A"/>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32A"/>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263"/>
    <w:rsid w:val="00FA545F"/>
    <w:rsid w:val="00FA58E8"/>
    <w:rsid w:val="00FA59EC"/>
    <w:rsid w:val="00FA59F8"/>
    <w:rsid w:val="00FA6064"/>
    <w:rsid w:val="00FA6125"/>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48A"/>
    <w:rsid w:val="00FB4627"/>
    <w:rsid w:val="00FB4787"/>
    <w:rsid w:val="00FB47D2"/>
    <w:rsid w:val="00FB4BF1"/>
    <w:rsid w:val="00FB4EF8"/>
    <w:rsid w:val="00FB54A8"/>
    <w:rsid w:val="00FB58BD"/>
    <w:rsid w:val="00FB5B20"/>
    <w:rsid w:val="00FB5C83"/>
    <w:rsid w:val="00FB6EED"/>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3920197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86077198">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91210898">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6B15B-96C5-4850-BC16-23E6C080E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3489</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유향선/책임연구원/C&amp;M표준(연)5G무선접속표준Task(sssun.you@lge.com)</cp:lastModifiedBy>
  <cp:revision>2</cp:revision>
  <cp:lastPrinted>2022-04-28T11:25:00Z</cp:lastPrinted>
  <dcterms:created xsi:type="dcterms:W3CDTF">2023-05-15T00:05:00Z</dcterms:created>
  <dcterms:modified xsi:type="dcterms:W3CDTF">2023-05-15T00:05:00Z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